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right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Пхешхова М. Б., студентка 3 курса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right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факультета управления,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right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МГТУ, г. Майкоп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right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Науч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рук.-к.э.н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., доц.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Маськов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С. А.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КРАТКИЙ АНАЛИЗ СОЦИАЛЬНО-ЭКОНОМИЧЕСКОГО РАЗВИТИЯ КРАСНОДАРСКОГО КРАЯ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Кра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c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нодарcкий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край - один из наиболее значимых регионов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Роccии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По уровню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c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оциально-экономичеcкого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развития регион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являетcя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экономичеcки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развитым. Экономика края активно участвует в процессах мировой экономики. На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c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егодняшний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день мировая глобализация привела к тому, что абсолютное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большинcтво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мировых экономик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теcно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cвязаны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друг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другом.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Основу производительных сил Краснодарского края составляют промышленный, строительный, топливно-энергетический комплексы, область информационных и коммуникационных технологий, а также агропромышленный, транспортный, курортно-рекреационный и туристский комплексы.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Последние три направления деятельности (агропромышленный, транспортный, санаторно-курортный и туристский комплексы) соответствуют приоритетам социально-экономического развития России и определяют особый статус края в экономике страны.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Динамичное развитие агропромышленного комплекса  края обеспечивает продовольственную безопасность страны:</w:t>
      </w:r>
    </w:p>
    <w:p w:rsidR="00DA7BF0" w:rsidRDefault="00DA7BF0" w:rsidP="00DA7BF0">
      <w:pPr>
        <w:numPr>
          <w:ilvl w:val="0"/>
          <w:numId w:val="1"/>
        </w:num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край обладает богатейшими ресурсами сельскохозяйственных земель, в том числе черноземами, площадь которых составляет 4805 тыс. гектаров (это более 4% российских и около 2% мировых запасов);</w:t>
      </w:r>
    </w:p>
    <w:p w:rsidR="00DA7BF0" w:rsidRDefault="00DA7BF0" w:rsidP="00DA7BF0">
      <w:pPr>
        <w:numPr>
          <w:ilvl w:val="0"/>
          <w:numId w:val="1"/>
        </w:num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край занимает первое место среди субъектов Российской Федерации по объему производства зерна, сахарной свеклы, плодов и ягод, второе – по производству семян подсолнечника и меда;</w:t>
      </w:r>
    </w:p>
    <w:p w:rsidR="00DA7BF0" w:rsidRDefault="00DA7BF0" w:rsidP="00DA7BF0">
      <w:pPr>
        <w:numPr>
          <w:ilvl w:val="0"/>
          <w:numId w:val="1"/>
        </w:num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край занимает второе место среди субъектов Российской Федерации по производству яиц, мяса скота и птицы (в живом весе), третье место – по производству молока[1].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последние несколько лет социально-экономическая ситуация в Краснодарском крае заметно улучшилась. Опережающее развитие получили сектора, которые играют роль общенациональных и региональных "точек роста". Создана прочная база для экономического роста, позволившая краю войти в первую десятку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инвестиционно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привлекательных регионов.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край является одним из динамично развивающихся и стратегически важных регионов страны – территорией экономического роста.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2010-2012 годах темпы роста базовых направлений деятельности в сопоставимых условиях составили от 1,3 до 3,3 раз. При этом краевые результаты выше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среднероссийских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 производству промышленной и сельскохозяйственной продукции на 15-16 процентных пунктов (рис.1).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5231130" cy="14325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0"/>
          <w:szCs w:val="20"/>
        </w:rPr>
        <w:t xml:space="preserve">Рисунок 1 — Темпы роста основных видов деятельности, 2012 год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в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%.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A7BF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>Более высокими темпами роста, чем в целом по стране, развивалось жилищное строительство. Аналогичная ситуация во всех секторах потребительского рынка, что позволяет краю входить в первую десятку субъектов России по объемам продаж и оказания услуг населению.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Происходил интенсивный рост потребительского и, особенно, инвестиционного спроса, объемов экспорта.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Высокие темпы потребительского спроса опирались на увеличение реальных располагаемых доходов населения при опережающем росте реальной заработной платы, активность банков на рынке потребительского кредитования.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Реальная заработная плата увеличена на 16 процентов, номинальная – на 27 процентов (до 9,6 тыс. рублей)[2]. Темпы прироста этих показателей более чем на 2 процентных пункта выше, чем в прошлом году.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Значительна (от 22 до 38 процентов) доля края в основных показателях социально-экономического развития Южного федерального округа, где регион занимает первое место, как по объему ВРП, так и по среднедушевым показателям, характеризующим его развитие, даже при условии самой высокой численности населения.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Соответствующий статус Краснодарского края в Российской Федерации определяется его вкладом в В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ВП стр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аны и в формирование федерального бюджета, а также высокими значениями ряда других индикаторов развития региона.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Значимый вклад края в В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ВП стр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аны и в формирование федерального бюджета обеспечивается поступательным развитием реального сектора экономики и ростом деловой активности в нем, притоком квалифицированных кадров. Об этом свидетельствуют высокие значения не только макроэкономических показателей развития агропромышленного, туристско-рекреационного и транспортного комплексов края, но и многих других индикаторов развития региона.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Краснодарский край занимает 10-е место среди субъектов Российской Федерации по объему ВРП и играет весомую роль в экономике страны. Край является одним из регионов России, самостоятельно обеспечивающим свои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текущие бюджетные расходы, и при этом вносит существенный вклад в федеральный бюджет.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Краснодарский край является одним из основных лидеров среди регионов Российской Федерации по уровню инвестиционной активности и стабильно занимает первое место в Южном федеральном округе и пятое – в России. Примечательно то, что конкурентные преимущества края (выгодное географическое положение, богатейшие природные ресурсы, изобилие сельхозпродукции, нуждающейся в современной переработке) в сочетании со стабильным политическим климатом и системой государственной поддержки, которая действует с 1999 года, заметно повысили интерес иностранных инвесторов и деловых кругов к региону.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в крае имеется мощный потенциал опережающего развития, определяющий возможности роста его вклада в реализацию целей федерального Правительства.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Каждый год по дорогам Кубани к побережью направляется огромный автомобильный поток. Несмотря на то, что автодороги края считаются одними из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самых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хороших в России, сервисная инфраструктура оставляет желать лучшего. Автотуристы жалуются на нехватку кафе, рынков, оборудованных автостоянок и автозаправок, смотровых площадок.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Именно поэтому особый интерес вызвала представленная в курортно-туристском стендовом блоке и на отраслевом круглом столе программа Комитета по курортам и туризму Краснодарского края.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нее входит 20 наиболее приоритетных проектов отрасли: туристско-спортивный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горно-климатический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комплекс "Красная Поляна", туристско-этнографическое поселение "Казачья станица" в Абинском районе, туристический развлекательный комплекс "Остров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Югра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" в Туапсинском районе, туристический центр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Хасавита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" в Мостовском районе, парк развлечений "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Добродея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" в Анапе, инвестиционная программа "Трасса "Юг"", в которой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примут участие все районы края, через чью территорию миллионы туристов ежегодно едут на побережье.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Подробное описание инвестиционных проектов было издано специальным сборником на русском, английском и немецком языках.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Проектом XXI века названа программа комплексного развития 100-километровой прибрежной зоны Геленджика. Она разрабатывается консорциумом компаний из Южной Африки, Великобритании и России. Возглавляет консорциум компания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Victoria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and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Alfred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Waterfront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(ЮАР), российскую сторону представляет ГУП "Агентство экономического развития Краснодарского края". Для четырех приоритетных для развития участков определен набор анкерных проектов, включающих модернизацию аэропорта, строительство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конно-спортивного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центра, развлекательных комплексов, гольф-клубов, жилищную застройку.</w:t>
      </w: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Надеемся, что социально-экономическое развитие Краснодарского края достигнет еще более высокого уровня и будет стимулом для развития других регионов.</w:t>
      </w:r>
    </w:p>
    <w:p w:rsidR="00DA7BF0" w:rsidRPr="00DA7BF0" w:rsidRDefault="00DA7BF0" w:rsidP="00DA7BF0">
      <w:pPr>
        <w:autoSpaceDE w:val="0"/>
        <w:autoSpaceDN w:val="0"/>
        <w:adjustRightInd w:val="0"/>
        <w:ind w:left="170" w:right="85"/>
        <w:jc w:val="center"/>
        <w:rPr>
          <w:rFonts w:ascii="Calibri" w:hAnsi="Calibri" w:cs="Calibri"/>
        </w:rPr>
      </w:pPr>
    </w:p>
    <w:p w:rsidR="00DA7BF0" w:rsidRDefault="00DA7BF0" w:rsidP="00DA7BF0">
      <w:pPr>
        <w:autoSpaceDE w:val="0"/>
        <w:autoSpaceDN w:val="0"/>
        <w:adjustRightInd w:val="0"/>
        <w:ind w:left="170" w:right="85"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Литература:</w:t>
      </w:r>
    </w:p>
    <w:p w:rsidR="00DA7BF0" w:rsidRDefault="00DA7BF0" w:rsidP="00DA7BF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Закон Краснодарского края от 3 февраля 2009 г. N 1692-КЗ О программе социально-экономического развития Краснодарского края до 2012 года Принят Законодательным Собранием Краснодарского края 21 января 2009 года</w:t>
      </w:r>
    </w:p>
    <w:p w:rsidR="00DA7BF0" w:rsidRDefault="00DA7BF0" w:rsidP="00DA7BF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Закон  Краснодарского края от 22 ноября 2012 №178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Стратегии социально-экономического развития Краснодарского края до 2020 года Принят Законодательным Собранием Краснодарского края 16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сенятября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2012 года</w:t>
      </w:r>
    </w:p>
    <w:p w:rsidR="00DA7BF0" w:rsidRDefault="00DA7BF0" w:rsidP="00DA7BF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http://krasnodar.ru</w:t>
        </w:r>
      </w:hyperlink>
    </w:p>
    <w:p w:rsidR="00027F39" w:rsidRDefault="00027F39"/>
    <w:sectPr w:rsidR="00027F39" w:rsidSect="00863A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EE8B2E"/>
    <w:lvl w:ilvl="0">
      <w:numFmt w:val="bullet"/>
      <w:lvlText w:val="*"/>
      <w:lvlJc w:val="left"/>
    </w:lvl>
  </w:abstractNum>
  <w:abstractNum w:abstractNumId="1">
    <w:nsid w:val="671A2C8F"/>
    <w:multiLevelType w:val="hybridMultilevel"/>
    <w:tmpl w:val="604E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BF0"/>
    <w:rsid w:val="00027F39"/>
    <w:rsid w:val="00977814"/>
    <w:rsid w:val="00DA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6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asnod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МАДИНКА</dc:creator>
  <cp:lastModifiedBy>МАДИНКА</cp:lastModifiedBy>
  <cp:revision>1</cp:revision>
  <dcterms:created xsi:type="dcterms:W3CDTF">2013-04-09T19:17:00Z</dcterms:created>
  <dcterms:modified xsi:type="dcterms:W3CDTF">2013-04-09T19:22:00Z</dcterms:modified>
</cp:coreProperties>
</file>